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1D" w:rsidRPr="00AC3F77" w:rsidRDefault="00B37DB7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Rezoluta e miratuara nga IDC-CDI, Komiteti Ekzekutiv, São Paulo-</w:t>
      </w:r>
      <w:r w:rsidR="00F445AE" w:rsidRPr="00AC3F77">
        <w:rPr>
          <w:sz w:val="24"/>
          <w:szCs w:val="24"/>
          <w:lang w:val="sq-AL"/>
        </w:rPr>
        <w:t>Brazil, 22</w:t>
      </w:r>
      <w:r w:rsidRPr="00AC3F77">
        <w:rPr>
          <w:sz w:val="24"/>
          <w:szCs w:val="24"/>
          <w:lang w:val="sq-AL"/>
        </w:rPr>
        <w:t xml:space="preserve"> nëntor </w:t>
      </w:r>
      <w:r w:rsidR="00F445AE" w:rsidRPr="00AC3F77">
        <w:rPr>
          <w:sz w:val="24"/>
          <w:szCs w:val="24"/>
          <w:lang w:val="sq-AL"/>
        </w:rPr>
        <w:t>2025</w:t>
      </w:r>
    </w:p>
    <w:p w:rsidR="00B37DB7" w:rsidRPr="00AC3F77" w:rsidRDefault="00B37DB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b/>
          <w:bCs/>
          <w:color w:val="1F4E79"/>
          <w:sz w:val="24"/>
          <w:szCs w:val="24"/>
          <w:lang w:val="sq-AL"/>
        </w:rPr>
        <w:t>Rezolutë për situatën në Shqipëri: Integriteti zgjedhor, përqendrimi i pushtetit dhe ngritja e narko-shtetit</w:t>
      </w:r>
    </w:p>
    <w:p w:rsidR="00AC3F77" w:rsidRPr="00AC3F77" w:rsidRDefault="00AC3F77" w:rsidP="00B37DB7">
      <w:pPr>
        <w:pStyle w:val="NoSpacing"/>
        <w:rPr>
          <w:b/>
          <w:bCs/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b/>
          <w:bCs/>
          <w:sz w:val="24"/>
          <w:szCs w:val="24"/>
          <w:lang w:val="sq-AL"/>
        </w:rPr>
        <w:t>IDC-CDI:</w:t>
      </w:r>
    </w:p>
    <w:p w:rsidR="00AC3F77" w:rsidRP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Duke pasur parasysh Raportin Përfundimtar të OSBE/ODIHR-it për Zgjedhjet Parlamentare të 11 majit 2025 në Shqipëri,</w:t>
      </w:r>
    </w:p>
    <w:p w:rsidR="00AC3F77" w:rsidRP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 xml:space="preserve">Duke pasur parasysh Indeksin e Shtetit të së Drejtës 2025 të </w:t>
      </w:r>
      <w:r w:rsidR="00B37DB7" w:rsidRPr="00AC3F77">
        <w:rPr>
          <w:sz w:val="24"/>
          <w:szCs w:val="24"/>
          <w:lang w:val="sq-AL"/>
        </w:rPr>
        <w:t>Ë</w:t>
      </w:r>
      <w:r w:rsidRPr="00AC3F77">
        <w:rPr>
          <w:sz w:val="24"/>
          <w:szCs w:val="24"/>
          <w:lang w:val="sq-AL"/>
        </w:rPr>
        <w:t>orld Justice Project,</w:t>
      </w:r>
      <w:r w:rsidRPr="00AC3F77">
        <w:rPr>
          <w:rStyle w:val="FootnoteReference"/>
          <w:sz w:val="24"/>
          <w:szCs w:val="24"/>
          <w:lang w:val="sq-AL"/>
        </w:rPr>
        <w:footnoteReference w:id="2"/>
      </w:r>
      <w:r w:rsidRPr="00AC3F77">
        <w:rPr>
          <w:sz w:val="24"/>
          <w:szCs w:val="24"/>
          <w:lang w:val="sq-AL"/>
        </w:rPr>
        <w:t xml:space="preserve"> si dhe Raportin e vitit 2025 të Departamentit të Shteti</w:t>
      </w:r>
      <w:r w:rsidRPr="00AC3F77">
        <w:rPr>
          <w:sz w:val="24"/>
          <w:szCs w:val="24"/>
          <w:lang w:val="sq-AL"/>
        </w:rPr>
        <w:t>t të SHBA-së për Klimën e Biznesit në Shqipëri,</w:t>
      </w:r>
    </w:p>
    <w:p w:rsidR="00AC3F77" w:rsidRP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Duke pasur parasysh Kriteret e Kopenhagës, Dokumentin e Kopenhagës të OSBE-së (1990), Kodin e Praktikave të Mira në Çështjet Zgjedhore të Komisionit të Venecias dhe Kartën Evropiane të Vetëqeverisjes Vendore,</w:t>
      </w:r>
    </w:p>
    <w:p w:rsidR="00AC3F77" w:rsidRP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Duke pasur parasysh rezolutat e mëparshme të miratuara nga PPE-ja, CDI-ja dhe IDU-ja lidhur me regresin demokratik dhe korrupsionin në Shqipëri,</w:t>
      </w:r>
    </w:p>
    <w:p w:rsidR="00AC3F77" w:rsidRP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Duke shprehur shqetësimin se Shqipëria ka pësuar një regres të thellë demokratik, të shënuar nga shkrirja e pa</w:t>
      </w:r>
      <w:r w:rsidRPr="00AC3F77">
        <w:rPr>
          <w:sz w:val="24"/>
          <w:szCs w:val="24"/>
          <w:lang w:val="sq-AL"/>
        </w:rPr>
        <w:t>rtisë me shtetin, drejtësia selektive dhe infiltrimi sistemik i krimit të organizuar në strukturat politike dhe ekonomike, dhe duke pohuar se rruga e Shqipërisë drejt Bashkimit Evropian duhet të mbetet rreptësisht e bazuar në merita, e kushtëzuar nga përpa</w:t>
      </w:r>
      <w:r w:rsidRPr="00AC3F77">
        <w:rPr>
          <w:sz w:val="24"/>
          <w:szCs w:val="24"/>
          <w:lang w:val="sq-AL"/>
        </w:rPr>
        <w:t>rimi i matshëm në demokraci, shtet të së drejtës dhe të drejta të njeriut,</w:t>
      </w:r>
    </w:p>
    <w:p w:rsidR="00AC3F77" w:rsidRPr="00AC3F77" w:rsidRDefault="00AC3F77" w:rsidP="00B37DB7">
      <w:pPr>
        <w:pStyle w:val="NoSpacing"/>
        <w:rPr>
          <w:b/>
          <w:bCs/>
          <w:color w:val="1F4E79"/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b/>
          <w:bCs/>
          <w:color w:val="1F4E79"/>
          <w:sz w:val="24"/>
          <w:szCs w:val="24"/>
          <w:lang w:val="sq-AL"/>
        </w:rPr>
        <w:t>I. Integriteti zgjedhor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Vëren me shqetësim të thellë gjetjet e Raportit Përfundimtar të OSBE/ODIHR-it, i cili konfirmon një shkrirje sistemike të pushtetit shtetëror me atë partiak,</w:t>
      </w:r>
      <w:r w:rsidRPr="00AC3F77">
        <w:rPr>
          <w:sz w:val="24"/>
          <w:szCs w:val="24"/>
          <w:lang w:val="sq-AL"/>
        </w:rPr>
        <w:t xml:space="preserve"> keqpërdorim të përhapur të burimeve publike dhe një klimë frikësimi e drejtësie selektive që mohoi konkurrencën e barabartë;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Vëren se ODIHR-i dokumentoi blerje votash, ndërhyrje kriminale dhe rrjete klienteliste që shkëmbenin vende pune, përfitime dhe lej</w:t>
      </w:r>
      <w:r w:rsidRPr="00AC3F77">
        <w:rPr>
          <w:sz w:val="24"/>
          <w:szCs w:val="24"/>
          <w:lang w:val="sq-AL"/>
        </w:rPr>
        <w:t>e kundrejt votave. Zbatimi i ligjit veproi në mënyrë selektive, duke përforcuar pandëshkueshmërinë;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Rikujton se ODIHR-i dokumentoi më shumë se 4 500 veprimtari të financuara nga shteti të kthyera në evente fushate, ndërkohë që KQZ-ja sanksionoi vetëm 18 pr</w:t>
      </w:r>
      <w:r w:rsidRPr="00AC3F77">
        <w:rPr>
          <w:sz w:val="24"/>
          <w:szCs w:val="24"/>
          <w:lang w:val="sq-AL"/>
        </w:rPr>
        <w:t>ej tyre, duke nxjerrë në pah dështimin e plotë rregullator. Partia Socialiste në pushtet përdori zyrat publike, infrastrukturën dhe komunikimin për përfitim zgjedhor, në shkelje të Kodit Zgjedhor dhe të angazhimeve të Kopenhagës të OSBE-së;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lastRenderedPageBreak/>
        <w:t xml:space="preserve">Dënon ndjekjet </w:t>
      </w:r>
      <w:r w:rsidRPr="00AC3F77">
        <w:rPr>
          <w:sz w:val="24"/>
          <w:szCs w:val="24"/>
          <w:lang w:val="sq-AL"/>
        </w:rPr>
        <w:t>penale dhe arrestimet e motivuara politikisht të drejtuesve të opozitës gjatë vitit zgjedhor, përfshirë Sali Berishën, Ilir Metën, deputetin Ervin Salianji dhe Fatmir Mediun, të cilat, siç vuri në dukje ODIHR-i, kontribuuan në një klimë konfrontimi, mosbes</w:t>
      </w:r>
      <w:r w:rsidRPr="00AC3F77">
        <w:rPr>
          <w:sz w:val="24"/>
          <w:szCs w:val="24"/>
          <w:lang w:val="sq-AL"/>
        </w:rPr>
        <w:t>imi dhe drejtësie selektive dhe e penguan opozitën të merrte pjesë lirisht dhe në mënyrë të barabartë në procesin politik;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Vëren me shqetësim se dita e zgjedhjeve u shoqërua me frikësim, aktivistë të paautorizuar në qendrat e votimit dhe shkelje të fshehtë</w:t>
      </w:r>
      <w:r w:rsidRPr="00AC3F77">
        <w:rPr>
          <w:sz w:val="24"/>
          <w:szCs w:val="24"/>
          <w:lang w:val="sq-AL"/>
        </w:rPr>
        <w:t>sisë së votës, ndërkohë që mbi 90% e medias mbeti nën kontrollin e qeverisë;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ODIHR-i arrin në përfundimin se zgjedhjet nuk ishin as të lira, as të ndershme, të dominuara nga kontrolli shtet-parti, shtrëngimi dhe ndikimi kriminal, në shkelje të Dokumentit t</w:t>
      </w:r>
      <w:r w:rsidRPr="00AC3F77">
        <w:rPr>
          <w:sz w:val="24"/>
          <w:szCs w:val="24"/>
          <w:lang w:val="sq-AL"/>
        </w:rPr>
        <w:t>ë Kopenhagës të OSBE-së, të standardeve të Komisionit të Venecias dhe të Nenit 25 të PNDCP-së (ICCPR);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 xml:space="preserve">Shpreh keqardhje se, pavarësisht rekomandimeve të përsëritura të BE-së dhe atyre ndërkombëtare, Shqipëria ka dështuar të zbatojë rekomandimet thelbësore </w:t>
      </w:r>
      <w:r w:rsidRPr="00AC3F77">
        <w:rPr>
          <w:sz w:val="24"/>
          <w:szCs w:val="24"/>
          <w:lang w:val="sq-AL"/>
        </w:rPr>
        <w:t>të ODIHR-it që prej vitit 2013, duke përjetësuar një klimë pandëshkueshmërie për krimet zgjedhore, dhe se qeveria shqiptare nuk iu përgjigj asnjërës prej thirrjeve ndërkombëtare të shprehura në pesë rezolutat e mëparshme të CDI-së, PPE-së dhe IDU-së.</w:t>
      </w:r>
    </w:p>
    <w:p w:rsidR="00AC3F77" w:rsidRDefault="00AC3F77" w:rsidP="00B37DB7">
      <w:pPr>
        <w:pStyle w:val="NoSpacing"/>
        <w:rPr>
          <w:b/>
          <w:bCs/>
          <w:color w:val="1F4E79"/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b/>
          <w:bCs/>
          <w:color w:val="1F4E79"/>
          <w:sz w:val="24"/>
          <w:szCs w:val="24"/>
          <w:lang w:val="sq-AL"/>
        </w:rPr>
        <w:t>II. P</w:t>
      </w:r>
      <w:r w:rsidRPr="00AC3F77">
        <w:rPr>
          <w:b/>
          <w:bCs/>
          <w:color w:val="1F4E79"/>
          <w:sz w:val="24"/>
          <w:szCs w:val="24"/>
          <w:lang w:val="sq-AL"/>
        </w:rPr>
        <w:t>ërqendrimi i pushtetit dhe erozioni i kontrollit dhe balancave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Vëren se Kryeministri dhe Partia Socialiste në pushtet ushtro</w:t>
      </w:r>
      <w:r w:rsidR="00AC3F77">
        <w:rPr>
          <w:sz w:val="24"/>
          <w:szCs w:val="24"/>
          <w:lang w:val="sq-AL"/>
        </w:rPr>
        <w:t xml:space="preserve">jnë kontroll pothuajse të plotë </w:t>
      </w:r>
      <w:r w:rsidRPr="00AC3F77">
        <w:rPr>
          <w:sz w:val="24"/>
          <w:szCs w:val="24"/>
          <w:lang w:val="sq-AL"/>
        </w:rPr>
        <w:t>mbi institucionet shtetërore, përfshirë shërbimin civil, gjyqësorin, prokurorinë, organet rregullato</w:t>
      </w:r>
      <w:r w:rsidRPr="00AC3F77">
        <w:rPr>
          <w:sz w:val="24"/>
          <w:szCs w:val="24"/>
          <w:lang w:val="sq-AL"/>
        </w:rPr>
        <w:t>re dhe median publike, duke eliminuar kështu mekanizmat efektivë të mbikëqyrjes dhe llogaridhënies;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Dënon pengimin sistematik të mbikëqyrjes kushtetuese dhe parlamentare, përfshirë rrëzimin e mocioneve të opozitës dhe të interpelancave urgjente, si dhe bll</w:t>
      </w:r>
      <w:r w:rsidRPr="00AC3F77">
        <w:rPr>
          <w:sz w:val="24"/>
          <w:szCs w:val="24"/>
          <w:lang w:val="sq-AL"/>
        </w:rPr>
        <w:t>okimin e komisioneve hetimore parlamentare, veçanërisht atyre që hetojnë korrupsionin në shkallë të gjerë që përfshin Kryeministrin, farsën zgjedhore etj.;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Dënon shtypjen e mbikëqyrjes parlamentare, bllokimin e komisioneve hetimore dhe mospërfilljen e ekze</w:t>
      </w:r>
      <w:r w:rsidRPr="00AC3F77">
        <w:rPr>
          <w:sz w:val="24"/>
          <w:szCs w:val="24"/>
          <w:lang w:val="sq-AL"/>
        </w:rPr>
        <w:t>kutivit ndaj vendimeve të Gjykatës Kushtetuese;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 xml:space="preserve">Vëren se Indeksi 2025 i </w:t>
      </w:r>
      <w:r w:rsidR="00B37DB7" w:rsidRPr="00AC3F77">
        <w:rPr>
          <w:sz w:val="24"/>
          <w:szCs w:val="24"/>
          <w:lang w:val="sq-AL"/>
        </w:rPr>
        <w:t>Ë</w:t>
      </w:r>
      <w:r w:rsidRPr="00AC3F77">
        <w:rPr>
          <w:sz w:val="24"/>
          <w:szCs w:val="24"/>
          <w:lang w:val="sq-AL"/>
        </w:rPr>
        <w:t xml:space="preserve">JP-së e rendit Shqipërinë të 87-tën në botë, me rezultate veçanërisht të ulëta për kufizimet ndaj pushtetit qeveritar dhe për korrupsionin, duke konfirmuar erozionin e pavarësisë dhe </w:t>
      </w:r>
      <w:r w:rsidRPr="00AC3F77">
        <w:rPr>
          <w:sz w:val="24"/>
          <w:szCs w:val="24"/>
          <w:lang w:val="sq-AL"/>
        </w:rPr>
        <w:t>llogaridhënies gjyqësore;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Shpreh keqardhje se Reforma në Drejtësi është shndërruar në një mekanizëm kontrolli politik dhe ndjekjeje penale selektive, duke paralizuar gjyqësorin dhe duke minuar besimin publik te shteti i së drejtës;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Vëren se mbi 200 000 çës</w:t>
      </w:r>
      <w:r w:rsidRPr="00AC3F77">
        <w:rPr>
          <w:sz w:val="24"/>
          <w:szCs w:val="24"/>
          <w:lang w:val="sq-AL"/>
        </w:rPr>
        <w:t>htje në pritje dhe vonesat e gjata gjyqësore (deri në 1 230 ditë për vendimet e arsyetuara me shkrim) përbëjnë mohim të drejtësisë.</w:t>
      </w:r>
    </w:p>
    <w:p w:rsidR="00AC3F77" w:rsidRDefault="00AC3F77" w:rsidP="00B37DB7">
      <w:pPr>
        <w:pStyle w:val="NoSpacing"/>
        <w:rPr>
          <w:b/>
          <w:bCs/>
          <w:color w:val="1F4E79"/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b/>
          <w:bCs/>
          <w:color w:val="1F4E79"/>
          <w:sz w:val="24"/>
          <w:szCs w:val="24"/>
          <w:lang w:val="sq-AL"/>
        </w:rPr>
        <w:lastRenderedPageBreak/>
        <w:t>III. Shqipëria si narko-shtet dhe kërcënim për sigurinë rajonale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 xml:space="preserve">Shpreh shqetësim të rëndë se Shqipëria është kthyer në një </w:t>
      </w:r>
      <w:r w:rsidRPr="00AC3F77">
        <w:rPr>
          <w:sz w:val="24"/>
          <w:szCs w:val="24"/>
          <w:lang w:val="sq-AL"/>
        </w:rPr>
        <w:t>qendër madhore të trafikut të drogës dhe të pastrimit të parave, duke shërbyer si korridor logjistik për kokainën nga Amerika Latine drejt porteve evropiane;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 xml:space="preserve">Vëren me alarm infiltrimin kriminal të institucioneve shtetërore, përfshirë përfshirjen e </w:t>
      </w:r>
      <w:r w:rsidRPr="00AC3F77">
        <w:rPr>
          <w:sz w:val="24"/>
          <w:szCs w:val="24"/>
          <w:lang w:val="sq-AL"/>
        </w:rPr>
        <w:t>trafikantëve të njohur dhe të rrjeteve kriminale në kontratat publike, në zhvillimin e turizmit dhe në proceset zgjedhore;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 xml:space="preserve">Rikujton provat për takime midis zyrtarëve </w:t>
      </w:r>
      <w:r w:rsidRPr="00AC3F77">
        <w:rPr>
          <w:sz w:val="24"/>
          <w:szCs w:val="24"/>
          <w:lang w:val="sq-AL"/>
        </w:rPr>
        <w:t>të lartë qeveritarë dhe individëve të lidhur me Kartelin e Sinaloas dhe me grupet mafioze shqiptare;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Vëren se Eurostat-i dhe studime të pavarura konfirmojnë pastrim masiv parash në sektorin e ndërtimit në Shqipëri, me mbi 4 miliardë euro investime të pashp</w:t>
      </w:r>
      <w:r w:rsidRPr="00AC3F77">
        <w:rPr>
          <w:sz w:val="24"/>
          <w:szCs w:val="24"/>
          <w:lang w:val="sq-AL"/>
        </w:rPr>
        <w:t>jeguara në sistemin bankar formal;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I referohet Raportit të vitit 2025 të SHBA-së për Klimën e Biznesit, i cili identifikon korrupsionin endemik, flukset e paligjshme të kapitalit dhe përdorimin e PPP-ve dhe të prokurimit publik për klientelizëm politik;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Pa</w:t>
      </w:r>
      <w:r w:rsidRPr="00AC3F77">
        <w:rPr>
          <w:sz w:val="24"/>
          <w:szCs w:val="24"/>
          <w:lang w:val="sq-AL"/>
        </w:rPr>
        <w:t>ralajmëron se rrënjosja e një narko-ekonomie paraqet rreziqe të drejtpërdrejta për stabilitetin rajonal, minon besueshmërinë e zgjerimit të BE-së dhe kërcënon sigurinë evropiane.</w:t>
      </w:r>
    </w:p>
    <w:p w:rsidR="00AC3F77" w:rsidRDefault="00AC3F77" w:rsidP="00B37DB7">
      <w:pPr>
        <w:pStyle w:val="NoSpacing"/>
        <w:rPr>
          <w:b/>
          <w:bCs/>
          <w:color w:val="1F4E79"/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b/>
          <w:bCs/>
          <w:color w:val="1F4E79"/>
          <w:sz w:val="24"/>
          <w:szCs w:val="24"/>
          <w:lang w:val="sq-AL"/>
        </w:rPr>
        <w:t>IV. Thirrje dhe rekomandime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U bën thirrje Bashkimit Evropian, Shteteve të tij</w:t>
      </w:r>
      <w:r w:rsidRPr="00AC3F77">
        <w:rPr>
          <w:sz w:val="24"/>
          <w:szCs w:val="24"/>
          <w:lang w:val="sq-AL"/>
        </w:rPr>
        <w:t xml:space="preserve"> Anëtare dhe partnerëve demokratikë të sigurojnë që procesi i anëtarësimit të Shqipërisë të jetë rreptësisht i bazuar në merita, i lidhur me përparim të verifikueshëm në shtetin e së drejtës, integritetin zgjedhor dhe luftën kundër korrupsionit;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Nxit ngrit</w:t>
      </w:r>
      <w:r w:rsidRPr="00AC3F77">
        <w:rPr>
          <w:sz w:val="24"/>
          <w:szCs w:val="24"/>
          <w:lang w:val="sq-AL"/>
        </w:rPr>
        <w:t>jen e një misioni të pavarur monitorimi për shtetin e së drejtës, lirinë e medias dhe zgjedhjet në Shqipëri;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Kërkon sanksione të shënjestruara të BE-së dhe SHBA-së ndaj individëve dhe subjekteve të përfshirë në trafik droge, krim të organizuar dhe grupe te</w:t>
      </w:r>
      <w:r w:rsidRPr="00AC3F77">
        <w:rPr>
          <w:sz w:val="24"/>
          <w:szCs w:val="24"/>
          <w:lang w:val="sq-AL"/>
        </w:rPr>
        <w:t>rroriste, në pastrim parash dhe në manipulim zgjedhor.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Bën thirrje për ndihmë ndërkombëtare për të: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Luftuar pastrimin e parave dhe çmontuar rrjetet kriminale;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Mbështetur një reformë zgjedhore gjithëpërfshirëse dhe depolitizimin e administratës publike;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For</w:t>
      </w:r>
      <w:r w:rsidRPr="00AC3F77">
        <w:rPr>
          <w:sz w:val="24"/>
          <w:szCs w:val="24"/>
          <w:lang w:val="sq-AL"/>
        </w:rPr>
        <w:t>cuar pavarësinë e gjyqësorit dhe të medias;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Rikthyer funksionalitetin parlamentar dhe mbrojtjen e opozitës;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Siguruar zbatimin e plotë të rekomandimeve të OSBE/ODIHR-it;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 xml:space="preserve">Mbështet krijimin e një qeverie teknike për të mbikëqyrur zgjedhjet e ardhshme dhe për </w:t>
      </w:r>
      <w:r w:rsidRPr="00AC3F77">
        <w:rPr>
          <w:sz w:val="24"/>
          <w:szCs w:val="24"/>
          <w:lang w:val="sq-AL"/>
        </w:rPr>
        <w:t>të garantuar besueshmërinë e tyre;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Shpreh solidaritet me qytetarët shqiptarë dhe me forcat demokratike që punojnë për rikthimin e pluralizmit, të llogaridhënies dhe të vlerave evropiane.</w:t>
      </w:r>
    </w:p>
    <w:p w:rsidR="00AC3F77" w:rsidRDefault="00AC3F77" w:rsidP="00B37DB7">
      <w:pPr>
        <w:pStyle w:val="NoSpacing"/>
        <w:rPr>
          <w:b/>
          <w:bCs/>
          <w:color w:val="1F4E79"/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b/>
          <w:bCs/>
          <w:color w:val="1F4E79"/>
          <w:sz w:val="24"/>
          <w:szCs w:val="24"/>
          <w:lang w:val="sq-AL"/>
        </w:rPr>
        <w:t>V. Përfundim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Ripohon se konsolidimi i një regjimi narko-autoritar në Shqipëri përbën jo vetëm një tragjedi të brendshme, por edhe një sfidë strategjike për sigurinë demokratike të Evropës.</w:t>
      </w:r>
    </w:p>
    <w:p w:rsidR="00AC3F77" w:rsidRDefault="00AC3F77" w:rsidP="00B37DB7">
      <w:pPr>
        <w:pStyle w:val="NoSpacing"/>
        <w:rPr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sz w:val="24"/>
          <w:szCs w:val="24"/>
          <w:lang w:val="sq-AL"/>
        </w:rPr>
        <w:t>Thekson se, pa veprime të menjëhershme korrigjuese, Shqipëria rrezikon të kthehe</w:t>
      </w:r>
      <w:r w:rsidRPr="00AC3F77">
        <w:rPr>
          <w:sz w:val="24"/>
          <w:szCs w:val="24"/>
          <w:lang w:val="sq-AL"/>
        </w:rPr>
        <w:t>t në një strehë të përhershme për krimin e organizuar, kapitalin e paligjshëm dhe qeverisjen autoritare brenda kufijve të Evropës.</w:t>
      </w:r>
    </w:p>
    <w:p w:rsidR="00AC3F77" w:rsidRDefault="00AC3F77" w:rsidP="00B37DB7">
      <w:pPr>
        <w:pStyle w:val="NoSpacing"/>
        <w:rPr>
          <w:i/>
          <w:iCs/>
          <w:sz w:val="24"/>
          <w:szCs w:val="24"/>
          <w:lang w:val="sq-AL"/>
        </w:rPr>
      </w:pPr>
    </w:p>
    <w:p w:rsidR="005A031D" w:rsidRPr="00AC3F77" w:rsidRDefault="00F445AE" w:rsidP="00B37DB7">
      <w:pPr>
        <w:pStyle w:val="NoSpacing"/>
        <w:rPr>
          <w:sz w:val="24"/>
          <w:szCs w:val="24"/>
          <w:lang w:val="sq-AL"/>
        </w:rPr>
      </w:pPr>
      <w:r w:rsidRPr="00AC3F77">
        <w:rPr>
          <w:i/>
          <w:iCs/>
          <w:sz w:val="24"/>
          <w:szCs w:val="24"/>
          <w:lang w:val="sq-AL"/>
        </w:rPr>
        <w:t>Komiteti Ekzekutiv – São Paulo, 22.11.2025</w:t>
      </w:r>
    </w:p>
    <w:sectPr w:rsidR="005A031D" w:rsidRPr="00AC3F77" w:rsidSect="005A031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5AE" w:rsidRDefault="00F445AE" w:rsidP="005A031D">
      <w:pPr>
        <w:spacing w:line="240" w:lineRule="auto"/>
      </w:pPr>
      <w:r>
        <w:separator/>
      </w:r>
    </w:p>
  </w:endnote>
  <w:endnote w:type="continuationSeparator" w:id="1">
    <w:p w:rsidR="00F445AE" w:rsidRDefault="00F445AE" w:rsidP="005A0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5AE" w:rsidRDefault="00F445AE" w:rsidP="005A031D">
      <w:pPr>
        <w:spacing w:line="240" w:lineRule="auto"/>
      </w:pPr>
      <w:r>
        <w:separator/>
      </w:r>
    </w:p>
  </w:footnote>
  <w:footnote w:type="continuationSeparator" w:id="1">
    <w:p w:rsidR="00F445AE" w:rsidRDefault="00F445AE" w:rsidP="005A031D">
      <w:pPr>
        <w:spacing w:line="240" w:lineRule="auto"/>
      </w:pPr>
      <w:r>
        <w:continuationSeparator/>
      </w:r>
    </w:p>
  </w:footnote>
  <w:footnote w:id="2">
    <w:p w:rsidR="005A031D" w:rsidRDefault="00F445AE">
      <w:r>
        <w:rPr>
          <w:rStyle w:val="FootnoteReference"/>
        </w:rPr>
        <w:footnoteRef/>
      </w:r>
      <w:r w:rsidR="00B37DB7">
        <w:rPr>
          <w:sz w:val="18"/>
          <w:szCs w:val="18"/>
        </w:rPr>
        <w:t>Ë</w:t>
      </w:r>
      <w:r>
        <w:rPr>
          <w:sz w:val="18"/>
          <w:szCs w:val="18"/>
        </w:rPr>
        <w:t>JPIndex2025.pdf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712D2"/>
    <w:multiLevelType w:val="hybridMultilevel"/>
    <w:tmpl w:val="8C68F168"/>
    <w:lvl w:ilvl="0" w:tplc="BE488224">
      <w:start w:val="1"/>
      <w:numFmt w:val="bullet"/>
      <w:lvlText w:val="●"/>
      <w:lvlJc w:val="left"/>
      <w:pPr>
        <w:ind w:left="720" w:hanging="360"/>
      </w:pPr>
    </w:lvl>
    <w:lvl w:ilvl="1" w:tplc="18EEAA48">
      <w:start w:val="1"/>
      <w:numFmt w:val="bullet"/>
      <w:lvlText w:val="○"/>
      <w:lvlJc w:val="left"/>
      <w:pPr>
        <w:ind w:left="1440" w:hanging="360"/>
      </w:pPr>
    </w:lvl>
    <w:lvl w:ilvl="2" w:tplc="22C099BA">
      <w:start w:val="1"/>
      <w:numFmt w:val="bullet"/>
      <w:lvlText w:val="■"/>
      <w:lvlJc w:val="left"/>
      <w:pPr>
        <w:ind w:left="2160" w:hanging="360"/>
      </w:pPr>
    </w:lvl>
    <w:lvl w:ilvl="3" w:tplc="F2FE933A">
      <w:start w:val="1"/>
      <w:numFmt w:val="bullet"/>
      <w:lvlText w:val="●"/>
      <w:lvlJc w:val="left"/>
      <w:pPr>
        <w:ind w:left="2880" w:hanging="360"/>
      </w:pPr>
    </w:lvl>
    <w:lvl w:ilvl="4" w:tplc="AC2EE1F6">
      <w:start w:val="1"/>
      <w:numFmt w:val="bullet"/>
      <w:lvlText w:val="○"/>
      <w:lvlJc w:val="left"/>
      <w:pPr>
        <w:ind w:left="3600" w:hanging="360"/>
      </w:pPr>
    </w:lvl>
    <w:lvl w:ilvl="5" w:tplc="1EC6D1CC">
      <w:start w:val="1"/>
      <w:numFmt w:val="bullet"/>
      <w:lvlText w:val="■"/>
      <w:lvlJc w:val="left"/>
      <w:pPr>
        <w:ind w:left="4320" w:hanging="360"/>
      </w:pPr>
    </w:lvl>
    <w:lvl w:ilvl="6" w:tplc="27B24AA0">
      <w:start w:val="1"/>
      <w:numFmt w:val="bullet"/>
      <w:lvlText w:val="●"/>
      <w:lvlJc w:val="left"/>
      <w:pPr>
        <w:ind w:left="5040" w:hanging="360"/>
      </w:pPr>
    </w:lvl>
    <w:lvl w:ilvl="7" w:tplc="2FA4FF04">
      <w:start w:val="1"/>
      <w:numFmt w:val="bullet"/>
      <w:lvlText w:val="●"/>
      <w:lvlJc w:val="left"/>
      <w:pPr>
        <w:ind w:left="5760" w:hanging="360"/>
      </w:pPr>
    </w:lvl>
    <w:lvl w:ilvl="8" w:tplc="C666F1A8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366A2BF2"/>
    <w:multiLevelType w:val="hybridMultilevel"/>
    <w:tmpl w:val="19D8C772"/>
    <w:lvl w:ilvl="0" w:tplc="1B3629E4">
      <w:start w:val="1"/>
      <w:numFmt w:val="bullet"/>
      <w:lvlText w:val="•"/>
      <w:lvlJc w:val="left"/>
      <w:pPr>
        <w:ind w:left="720" w:hanging="288"/>
      </w:pPr>
    </w:lvl>
    <w:lvl w:ilvl="1" w:tplc="78A4AA18">
      <w:numFmt w:val="decimal"/>
      <w:lvlText w:val=""/>
      <w:lvlJc w:val="left"/>
    </w:lvl>
    <w:lvl w:ilvl="2" w:tplc="C476883E">
      <w:numFmt w:val="decimal"/>
      <w:lvlText w:val=""/>
      <w:lvlJc w:val="left"/>
    </w:lvl>
    <w:lvl w:ilvl="3" w:tplc="4148B1C0">
      <w:numFmt w:val="decimal"/>
      <w:lvlText w:val=""/>
      <w:lvlJc w:val="left"/>
    </w:lvl>
    <w:lvl w:ilvl="4" w:tplc="A386D15C">
      <w:numFmt w:val="decimal"/>
      <w:lvlText w:val=""/>
      <w:lvlJc w:val="left"/>
    </w:lvl>
    <w:lvl w:ilvl="5" w:tplc="4FF27122">
      <w:numFmt w:val="decimal"/>
      <w:lvlText w:val=""/>
      <w:lvlJc w:val="left"/>
    </w:lvl>
    <w:lvl w:ilvl="6" w:tplc="B6AC5C60">
      <w:numFmt w:val="decimal"/>
      <w:lvlText w:val=""/>
      <w:lvlJc w:val="left"/>
    </w:lvl>
    <w:lvl w:ilvl="7" w:tplc="67ACA3E2">
      <w:numFmt w:val="decimal"/>
      <w:lvlText w:val=""/>
      <w:lvlJc w:val="left"/>
    </w:lvl>
    <w:lvl w:ilvl="8" w:tplc="B54460F6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31D"/>
    <w:rsid w:val="005A031D"/>
    <w:rsid w:val="008C65D3"/>
    <w:rsid w:val="00AC3F77"/>
    <w:rsid w:val="00B37DB7"/>
    <w:rsid w:val="00F4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rsid w:val="005A031D"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rsid w:val="005A031D"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rsid w:val="005A031D"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rsid w:val="005A031D"/>
    <w:pPr>
      <w:outlineLvl w:val="3"/>
    </w:pPr>
    <w:rPr>
      <w:i/>
      <w:iCs/>
      <w:color w:val="2E74B5"/>
    </w:rPr>
  </w:style>
  <w:style w:type="paragraph" w:styleId="Heading5">
    <w:name w:val="heading 5"/>
    <w:qFormat/>
    <w:rsid w:val="005A031D"/>
    <w:pPr>
      <w:outlineLvl w:val="4"/>
    </w:pPr>
    <w:rPr>
      <w:color w:val="2E74B5"/>
    </w:rPr>
  </w:style>
  <w:style w:type="paragraph" w:styleId="Heading6">
    <w:name w:val="heading 6"/>
    <w:qFormat/>
    <w:rsid w:val="005A031D"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sid w:val="005A031D"/>
    <w:rPr>
      <w:sz w:val="56"/>
      <w:szCs w:val="56"/>
    </w:rPr>
  </w:style>
  <w:style w:type="paragraph" w:customStyle="1" w:styleId="Strong1">
    <w:name w:val="Strong1"/>
    <w:qFormat/>
    <w:rsid w:val="005A031D"/>
    <w:rPr>
      <w:b/>
      <w:bCs/>
    </w:rPr>
  </w:style>
  <w:style w:type="paragraph" w:styleId="ListParagraph">
    <w:name w:val="List Paragraph"/>
    <w:qFormat/>
    <w:rsid w:val="005A031D"/>
  </w:style>
  <w:style w:type="character" w:styleId="Hyperlink">
    <w:name w:val="Hyperlink"/>
    <w:uiPriority w:val="99"/>
    <w:unhideWhenUsed/>
    <w:rsid w:val="005A031D"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5A031D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5A031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sid w:val="005A031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5A031D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5A031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sid w:val="005A031D"/>
    <w:rPr>
      <w:sz w:val="20"/>
      <w:szCs w:val="20"/>
    </w:rPr>
  </w:style>
  <w:style w:type="paragraph" w:styleId="NoSpacing">
    <w:name w:val="No Spacing"/>
    <w:uiPriority w:val="1"/>
    <w:qFormat/>
    <w:rsid w:val="00B37DB7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6764</Characters>
  <Application>Microsoft Office Word</Application>
  <DocSecurity>0</DocSecurity>
  <Lines>56</Lines>
  <Paragraphs>15</Paragraphs>
  <ScaleCrop>false</ScaleCrop>
  <Company/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Redaktor Web Tani</cp:lastModifiedBy>
  <cp:revision>3</cp:revision>
  <dcterms:created xsi:type="dcterms:W3CDTF">2026-07-13T18:17:00Z</dcterms:created>
  <dcterms:modified xsi:type="dcterms:W3CDTF">2026-07-13T18:17:00Z</dcterms:modified>
</cp:coreProperties>
</file>