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45" w:rsidRPr="0042698A" w:rsidRDefault="005E2F05" w:rsidP="002574A7">
      <w:pPr>
        <w:pStyle w:val="NoSpacing"/>
        <w:rPr>
          <w:sz w:val="24"/>
          <w:szCs w:val="24"/>
          <w:lang w:val="sq-AL"/>
        </w:rPr>
      </w:pPr>
      <w:r w:rsidRPr="0042698A">
        <w:rPr>
          <w:sz w:val="24"/>
          <w:szCs w:val="24"/>
          <w:lang w:val="sq-AL"/>
        </w:rPr>
        <w:t>Rezoluta Emergjente Nr. 4 e EPP-së ‘Integriteti Zgjedhor në Shqipëri’</w:t>
      </w:r>
      <w:r w:rsidR="006601D6" w:rsidRPr="0042698A">
        <w:rPr>
          <w:sz w:val="24"/>
          <w:szCs w:val="24"/>
          <w:lang w:val="sq-AL"/>
        </w:rPr>
        <w:t xml:space="preserve">- </w:t>
      </w:r>
      <w:r w:rsidR="00EA53D7" w:rsidRPr="0042698A">
        <w:rPr>
          <w:sz w:val="24"/>
          <w:szCs w:val="24"/>
          <w:lang w:val="sq-AL"/>
        </w:rPr>
        <w:t>M</w:t>
      </w:r>
      <w:r w:rsidRPr="0042698A">
        <w:rPr>
          <w:sz w:val="24"/>
          <w:szCs w:val="24"/>
          <w:lang w:val="sq-AL"/>
        </w:rPr>
        <w:t>iratuar</w:t>
      </w:r>
      <w:r w:rsidR="00EA53D7" w:rsidRPr="0042698A">
        <w:rPr>
          <w:sz w:val="24"/>
          <w:szCs w:val="24"/>
          <w:lang w:val="sq-AL"/>
        </w:rPr>
        <w:t xml:space="preserve"> </w:t>
      </w:r>
      <w:r w:rsidRPr="0042698A">
        <w:rPr>
          <w:sz w:val="24"/>
          <w:szCs w:val="24"/>
          <w:lang w:val="sq-AL"/>
        </w:rPr>
        <w:t>nga</w:t>
      </w:r>
      <w:r w:rsidR="00EA53D7" w:rsidRPr="0042698A">
        <w:rPr>
          <w:sz w:val="24"/>
          <w:szCs w:val="24"/>
          <w:lang w:val="sq-AL"/>
        </w:rPr>
        <w:t xml:space="preserve"> </w:t>
      </w:r>
      <w:r w:rsidRPr="0042698A">
        <w:rPr>
          <w:sz w:val="24"/>
          <w:szCs w:val="24"/>
          <w:lang w:val="sq-AL"/>
        </w:rPr>
        <w:t>Kongresi i EPP-së më 30 prill 2025 në Valencia, Spanjë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b/>
          <w:bCs/>
          <w:color w:val="2E74B5"/>
          <w:sz w:val="24"/>
          <w:szCs w:val="24"/>
          <w:lang w:val="sq-AL"/>
        </w:rPr>
        <w:t>KONGRESI I PPE-së – VALENCIA 2025</w:t>
      </w:r>
    </w:p>
    <w:p w:rsidR="007B5F87" w:rsidRDefault="007B5F87" w:rsidP="002574A7">
      <w:pPr>
        <w:pStyle w:val="NoSpacing"/>
        <w:rPr>
          <w:color w:val="2E74B5"/>
          <w:sz w:val="24"/>
          <w:szCs w:val="24"/>
          <w:lang w:val="sq-AL"/>
        </w:rPr>
      </w:pPr>
    </w:p>
    <w:p w:rsidR="002574A7" w:rsidRPr="0042698A" w:rsidRDefault="002574A7" w:rsidP="002574A7">
      <w:pPr>
        <w:pStyle w:val="NoSpacing"/>
        <w:rPr>
          <w:sz w:val="24"/>
          <w:szCs w:val="24"/>
          <w:lang w:val="sq-AL"/>
        </w:rPr>
      </w:pPr>
      <w:r w:rsidRPr="0042698A">
        <w:rPr>
          <w:color w:val="2E74B5"/>
          <w:sz w:val="24"/>
          <w:szCs w:val="24"/>
          <w:lang w:val="sq-AL"/>
        </w:rPr>
        <w:t>Rezoluta Emergjente Nr. 4</w:t>
      </w:r>
    </w:p>
    <w:p w:rsidR="002574A7" w:rsidRPr="0042698A" w:rsidRDefault="002574A7" w:rsidP="002574A7">
      <w:pPr>
        <w:pStyle w:val="NoSpacing"/>
        <w:rPr>
          <w:b/>
          <w:bCs/>
          <w:sz w:val="24"/>
          <w:szCs w:val="24"/>
          <w:lang w:val="sq-AL"/>
        </w:rPr>
      </w:pPr>
    </w:p>
    <w:p w:rsidR="008047BA" w:rsidRDefault="002574A7" w:rsidP="002574A7">
      <w:pPr>
        <w:pStyle w:val="NoSpacing"/>
        <w:rPr>
          <w:b/>
          <w:bCs/>
          <w:sz w:val="24"/>
          <w:szCs w:val="24"/>
          <w:lang w:val="sq-AL"/>
        </w:rPr>
      </w:pPr>
      <w:r w:rsidRPr="0042698A">
        <w:rPr>
          <w:b/>
          <w:bCs/>
          <w:sz w:val="24"/>
          <w:szCs w:val="24"/>
          <w:lang w:val="sq-AL"/>
        </w:rPr>
        <w:t>‘Integriteti Zgjedhor në Shqipëri’</w:t>
      </w:r>
    </w:p>
    <w:p w:rsidR="008047BA" w:rsidRDefault="008047BA" w:rsidP="002574A7">
      <w:pPr>
        <w:pStyle w:val="NoSpacing"/>
        <w:rPr>
          <w:b/>
          <w:bCs/>
          <w:sz w:val="24"/>
          <w:szCs w:val="24"/>
          <w:lang w:val="sq-AL"/>
        </w:rPr>
      </w:pPr>
    </w:p>
    <w:p w:rsidR="002574A7" w:rsidRPr="0042698A" w:rsidRDefault="008047BA" w:rsidP="002574A7">
      <w:pPr>
        <w:pStyle w:val="NoSpacing"/>
        <w:rPr>
          <w:sz w:val="24"/>
          <w:szCs w:val="24"/>
          <w:lang w:val="sq-AL"/>
        </w:rPr>
      </w:pPr>
      <w:r w:rsidRPr="008047BA">
        <w:rPr>
          <w:bCs/>
          <w:sz w:val="24"/>
          <w:szCs w:val="24"/>
          <w:lang w:val="sq-AL"/>
        </w:rPr>
        <w:t xml:space="preserve">Rezolutë </w:t>
      </w:r>
      <w:r w:rsidR="002574A7" w:rsidRPr="0042698A">
        <w:rPr>
          <w:sz w:val="24"/>
          <w:szCs w:val="24"/>
          <w:lang w:val="sq-AL"/>
        </w:rPr>
        <w:t>e paraqitur nga Partia Demokratike e Shqipërisë (PD)</w:t>
      </w:r>
    </w:p>
    <w:p w:rsidR="002574A7" w:rsidRPr="0042698A" w:rsidRDefault="002574A7" w:rsidP="002574A7">
      <w:pPr>
        <w:pStyle w:val="NoSpacing"/>
        <w:rPr>
          <w:i/>
          <w:iCs/>
          <w:color w:val="2E74B5"/>
          <w:sz w:val="24"/>
          <w:szCs w:val="24"/>
          <w:lang w:val="sq-AL"/>
        </w:rPr>
      </w:pPr>
    </w:p>
    <w:p w:rsidR="002574A7" w:rsidRPr="0042698A" w:rsidRDefault="002574A7" w:rsidP="002574A7">
      <w:pPr>
        <w:pStyle w:val="NoSpacing"/>
        <w:rPr>
          <w:sz w:val="24"/>
          <w:szCs w:val="24"/>
          <w:lang w:val="sq-AL"/>
        </w:rPr>
      </w:pPr>
      <w:r w:rsidRPr="0042698A">
        <w:rPr>
          <w:i/>
          <w:iCs/>
          <w:color w:val="2E74B5"/>
          <w:sz w:val="24"/>
          <w:szCs w:val="24"/>
          <w:lang w:val="sq-AL"/>
        </w:rPr>
        <w:t>Miratuar nga Kongresi i PPE-së, më 30 prill 2025, në Valencia, Spanjë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Duke marrë parasysh vullnetin e fortë dhe aspiratat evropiane të popullit shqiptar dhe të partisë sonë anëtare shqiptare brenda PPE-së;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Duke pasur parasysh Raportin Përfundimtar të OSBE/ODIHR-it për Zgjedhjet Vendore në Shqipëri (2023) dhe për Zgjedhjet Parlamentare (2021);</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Duke iu referuar Indeksit të Perceptimit të Korrupsionit 2023 të Transparency International, Indeksit 2024 të World Justice Project dhe Raporteve të Departamentit të Shtetit të SHBA-së për vitin 2023 mbi Praktikat e të Drejtave të Njeriut: Shqipëria;</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Duke mirëpritur vendimin e Këshillit Evropian për hapjen e negociatave për Klasterët me Shqipërinë, të kushtëzuar nga zbatimi i reformave të nevojshme demokratike;</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Ndërsa Shqipëria i afrohet Zgjedhjeve Parlamentare të 11 majit 2025, Partia Popullore Evropiane (PPE) shpreh shqetësimin e saj për situatën aktuale politike. Raportet e përmendura më lart kanë nxjerrë në pah shkelje të rënda, përfshirë keqpërdorimin e burimeve shtetërore, blerjen e votës, cenimin e fshehtësisë dhe të lirisë së votës, si dhe njëanshmërinë mediatike. Vëzhgimet më të fundit dhe burimet e mësipërme konvergjojnë në përfundimet e mëposhtme: se zgjedhjet në Shqipëri minohen nga manipulimi dhe abuzimi me pushtetin, se pluralizmi politik shtypet përmes presionit institucional dhe se shteti i së drejtës nuk qëndron për shkak të kapjes së gjyqësorit dhe pandëshkueshmërisë.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Mbi 100 ankesa formale janë depozituar zyrtarisht në Komisionin Qendror të Zgjedhjeve (KQZ) nga partia kryesore e opozitës, Partia Demokratike e Shqipërisë (PD), të cilat dokumentojnë shkelje të pretenduara sistemike dhe të qëllimshme</w:t>
      </w:r>
      <w:r w:rsidRPr="0042698A">
        <w:rPr>
          <w:rStyle w:val="FootnoteReference"/>
          <w:sz w:val="24"/>
          <w:szCs w:val="24"/>
          <w:lang w:val="sq-AL"/>
        </w:rPr>
        <w:footnoteReference w:id="2"/>
      </w:r>
      <w:r w:rsidRPr="0042698A">
        <w:rPr>
          <w:sz w:val="24"/>
          <w:szCs w:val="24"/>
          <w:lang w:val="sq-AL"/>
        </w:rPr>
        <w:t>, përfshirë sa më poshtë: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Blerje votash përmes stimujve në para dhe kultivimit të kanabisit;</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lastRenderedPageBreak/>
        <w:t>Praktika punësimi dhe prokurimi zgjedhor në favor të mbështetësve socialistë;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Abuzim me zyrat publike dhe median;</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Emërim i paligjshëm i kryetarit të Bashkisë së Tiranës pas arrestimit të Erion Veliajt, pa një proces demokratik, për të kontrolluar burimet bashkiake për fushatën e vitit 2025;</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Kërcënime dhe ndjekje penale ndaj kandidatëve të opozitës.</w:t>
      </w:r>
    </w:p>
    <w:p w:rsidR="002574A7" w:rsidRPr="0042698A" w:rsidRDefault="002574A7" w:rsidP="002574A7">
      <w:pPr>
        <w:pStyle w:val="NoSpacing"/>
        <w:rPr>
          <w:b/>
          <w:bCs/>
          <w:sz w:val="24"/>
          <w:szCs w:val="24"/>
          <w:u w:val="single"/>
          <w:lang w:val="sq-AL"/>
        </w:rPr>
      </w:pPr>
    </w:p>
    <w:p w:rsidR="002574A7" w:rsidRPr="0042698A" w:rsidRDefault="002574A7" w:rsidP="002574A7">
      <w:pPr>
        <w:pStyle w:val="NoSpacing"/>
        <w:rPr>
          <w:sz w:val="24"/>
          <w:szCs w:val="24"/>
          <w:lang w:val="sq-AL"/>
        </w:rPr>
      </w:pPr>
      <w:r w:rsidRPr="0042698A">
        <w:rPr>
          <w:b/>
          <w:bCs/>
          <w:sz w:val="24"/>
          <w:szCs w:val="24"/>
          <w:u w:val="single"/>
          <w:lang w:val="sq-AL"/>
        </w:rPr>
        <w:t>PPE-ja shpreh shqetësim për:</w:t>
      </w:r>
    </w:p>
    <w:p w:rsidR="002574A7" w:rsidRPr="0042698A" w:rsidRDefault="002574A7" w:rsidP="002574A7">
      <w:pPr>
        <w:pStyle w:val="NoSpacing"/>
        <w:rPr>
          <w:b/>
          <w:bCs/>
          <w:sz w:val="24"/>
          <w:szCs w:val="24"/>
          <w:lang w:val="sq-AL"/>
        </w:rPr>
      </w:pPr>
    </w:p>
    <w:p w:rsidR="002574A7" w:rsidRPr="0042698A" w:rsidRDefault="002574A7" w:rsidP="002574A7">
      <w:pPr>
        <w:pStyle w:val="NoSpacing"/>
        <w:rPr>
          <w:sz w:val="24"/>
          <w:szCs w:val="24"/>
          <w:lang w:val="sq-AL"/>
        </w:rPr>
      </w:pPr>
      <w:r w:rsidRPr="0042698A">
        <w:rPr>
          <w:b/>
          <w:bCs/>
          <w:sz w:val="24"/>
          <w:szCs w:val="24"/>
          <w:lang w:val="sq-AL"/>
        </w:rPr>
        <w:t>1. Abuzimin e vazhdueshëm me pushtetin shtetëror</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PPE-ja vëren me shqetësim përdorimin e vazhdueshëm të burimeve publike gjatë periudhave zgjedhore në Shqipëri. Ka raportime të besueshme për tendera, subvencione dhe inaugurime të zhvilluara brenda periudhës katërmujore parazgjedhore, në kundërshtim me Nenin 91 të Kodit Zgjedhor dhe me Vendimin Nr. 9/2020 të KQZ-së. Zyrtarë publikë, përfshirë ministra dhe kryetarë bashkish, janë angazhuar në veprimtari që rrezikojnë të mjegullojnë kufirin midis qeverisjes dhe fushatës. Pas arrestimit të kryetarit të Bashkisë së Tiranës, emërimi i një kryetari në detyrë u krye pa procedurë formale ligjore dhe pa miratimin e këshillit, duke ngritur shqetësime për autonominë vendore dhe për përputhshmërinë me Kartën Evropiane të Vetëqeverisjes Vendore. PPE-ja inkurajon institucionet shqiptare, përfshirë SPAK-un, të respektojnë standardet ligjore dhe të sigurojnë kushte të barabarta për të gjithë aktorët politikë.</w:t>
      </w:r>
    </w:p>
    <w:p w:rsidR="002574A7" w:rsidRPr="0042698A" w:rsidRDefault="002574A7" w:rsidP="002574A7">
      <w:pPr>
        <w:pStyle w:val="NoSpacing"/>
        <w:rPr>
          <w:b/>
          <w:bCs/>
          <w:sz w:val="24"/>
          <w:szCs w:val="24"/>
          <w:lang w:val="sq-AL"/>
        </w:rPr>
      </w:pPr>
    </w:p>
    <w:p w:rsidR="002574A7" w:rsidRPr="0042698A" w:rsidRDefault="002574A7" w:rsidP="002574A7">
      <w:pPr>
        <w:pStyle w:val="NoSpacing"/>
        <w:rPr>
          <w:sz w:val="24"/>
          <w:szCs w:val="24"/>
          <w:lang w:val="sq-AL"/>
        </w:rPr>
      </w:pPr>
      <w:r w:rsidRPr="0042698A">
        <w:rPr>
          <w:b/>
          <w:bCs/>
          <w:sz w:val="24"/>
          <w:szCs w:val="24"/>
          <w:lang w:val="sq-AL"/>
        </w:rPr>
        <w:t>2. Mbi zbatimin e rekomandimeve të OSBE/ODIHR-it</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PPE-ja është e shqetësuar nga mungesa e vazhdueshme e përparimit në zbatimin e rekomandimeve kyçe të OSBE/ODIHR-it për reformën zgjedhore. Institucionet mbeten të cenueshme ndaj ndikimit politik, duke minuar mbikëqyrjen e paanshme dhe konkurrencën e ndershme zgjedhore. Qasja në media është e pabarabartë, ku transmetuesit publikë dhe mediat e afërta favorizojnë partinë në pushtet dhe kufizojnë mbulimin e opozitës. Shkeljet zgjedhore shpesh mbeten të pandëshkuara, duke krijuar një kulturë pandëshkueshmërie për mashtrimin dhe manipulimin.</w:t>
      </w:r>
    </w:p>
    <w:p w:rsidR="002574A7" w:rsidRPr="0042698A" w:rsidRDefault="002574A7" w:rsidP="002574A7">
      <w:pPr>
        <w:pStyle w:val="NoSpacing"/>
        <w:rPr>
          <w:b/>
          <w:bCs/>
          <w:sz w:val="24"/>
          <w:szCs w:val="24"/>
          <w:lang w:val="sq-AL"/>
        </w:rPr>
      </w:pPr>
    </w:p>
    <w:p w:rsidR="002574A7" w:rsidRPr="0042698A" w:rsidRDefault="002574A7" w:rsidP="002574A7">
      <w:pPr>
        <w:pStyle w:val="NoSpacing"/>
        <w:rPr>
          <w:sz w:val="24"/>
          <w:szCs w:val="24"/>
          <w:lang w:val="sq-AL"/>
        </w:rPr>
      </w:pPr>
      <w:r w:rsidRPr="0042698A">
        <w:rPr>
          <w:b/>
          <w:bCs/>
          <w:sz w:val="24"/>
          <w:szCs w:val="24"/>
          <w:lang w:val="sq-AL"/>
        </w:rPr>
        <w:t>3. Manipulimin dhe frikësimin zgjedhor</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PPE-ja vëren raportimet për përdorimin e administratës publike për qëllime politike gjatë zgjedhjeve. Skemat e punësimit, përpjekjet propagandistike dhe presioni ndaj nëpunësve civilë për t’u angazhuar në veprimtari partiake minojnë neutralitetin e shtetit. Janë dokumentuar blerja e votës dhe frikësimi, përfshirë përpjekjet për të ulur pjesëmarrjen në votim, me ankesa formale të depozituara në KQZ dhe në prokurori. Mbeten shqetësimet për lidhjet e pretenduara midis aktorëve politikë dhe rrjeteve kriminale, veçanërisht në emërimet kyçe në strukturat e zbatimit të ligjit dhe në gjyqësor.</w:t>
      </w:r>
    </w:p>
    <w:p w:rsidR="002574A7" w:rsidRPr="0042698A" w:rsidRDefault="002574A7" w:rsidP="002574A7">
      <w:pPr>
        <w:pStyle w:val="NoSpacing"/>
        <w:rPr>
          <w:b/>
          <w:bCs/>
          <w:sz w:val="24"/>
          <w:szCs w:val="24"/>
          <w:lang w:val="sq-AL"/>
        </w:rPr>
      </w:pPr>
    </w:p>
    <w:p w:rsidR="002574A7" w:rsidRPr="0042698A" w:rsidRDefault="002574A7" w:rsidP="002574A7">
      <w:pPr>
        <w:pStyle w:val="NoSpacing"/>
        <w:rPr>
          <w:sz w:val="24"/>
          <w:szCs w:val="24"/>
          <w:lang w:val="sq-AL"/>
        </w:rPr>
      </w:pPr>
      <w:r w:rsidRPr="0042698A">
        <w:rPr>
          <w:b/>
          <w:bCs/>
          <w:sz w:val="24"/>
          <w:szCs w:val="24"/>
          <w:lang w:val="sq-AL"/>
        </w:rPr>
        <w:t>4. Shtypjen e opozitës dhe të lirisë së medias</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PPE-ja është e shqetësuar nga veprimet e vazhdueshme ligjore dhe presioni ndaj drejtuesve të opozitës, deputetëve dhe kryetarëve të bashkive. Pluralizmi mediatik është nën trysni, me një përqendrim në rritje të pronësisë së medias dhe të kontrollit editorial në favor të qeverisë. Vendimi për të kufizuar qasjen në TikTok në prag të zgjedhjeve ngre pikëpyetje për lirinë e shprehjes dhe të drejtat dixhitale. Këto zhvillime ngushtojnë hapësirën demokratike dhe kufizojnë aftësinë e qytetarëve për t’u përfshirë në debat të hapur politik.</w:t>
      </w:r>
    </w:p>
    <w:p w:rsidR="002574A7" w:rsidRPr="0042698A" w:rsidRDefault="002574A7" w:rsidP="002574A7">
      <w:pPr>
        <w:pStyle w:val="NoSpacing"/>
        <w:rPr>
          <w:b/>
          <w:bCs/>
          <w:sz w:val="24"/>
          <w:szCs w:val="24"/>
          <w:u w:val="single"/>
          <w:lang w:val="sq-AL"/>
        </w:rPr>
      </w:pPr>
    </w:p>
    <w:p w:rsidR="002574A7" w:rsidRPr="0042698A" w:rsidRDefault="002574A7" w:rsidP="002574A7">
      <w:pPr>
        <w:pStyle w:val="NoSpacing"/>
        <w:rPr>
          <w:sz w:val="24"/>
          <w:szCs w:val="24"/>
          <w:lang w:val="sq-AL"/>
        </w:rPr>
      </w:pPr>
      <w:r w:rsidRPr="0042698A">
        <w:rPr>
          <w:b/>
          <w:bCs/>
          <w:sz w:val="24"/>
          <w:szCs w:val="24"/>
          <w:u w:val="single"/>
          <w:lang w:val="sq-AL"/>
        </w:rPr>
        <w:t>Thirrja e PPE-së për veprim:</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PPE-ja u bën thirrje Bashkimit Evropian, OSBE-së, Këshillit të Evropës dhe institucioneve ndërkombëtare demokratike t’u kërkojnë autoriteteve shqiptare që: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Të ndërpresin çdo lloj keqpërdorimi të pretenduar të pushtetit shtetëror, blerjeje votash, frikësimi të votuesve dhe manipulimi zgjedhor.</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Zyrat përkatëse të prokurorisë duhet të hetojnë tërësisht dhe në kohë, përpara zgjedhjeve, të gjitha pretendimet për krime të lidhura me zgjedhjet; duhet t’i sjellin autorët para drejtësisë; dhe duhet të krijojnë një bilanc të qëndrueshëm hetimesh dhe ndëshkimesh.</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Të sigurojnë qasje të barabartë në media për të gjithë aktorët politikë dhe të garantojnë mbikëqyrje të pavarur zgjedhore.</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PPE-ja u bën thirrje më tej institucioneve evropiane, OSBE/ODIHR-it dhe Këshillit të Evropës që: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Të dislokojnë vëzhgues afatgjatë shtesë në bashkitë me rrezik të lartë;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Të dokumentojnë dhe denoncojnë publikisht abuzimin zgjedhor në raportet përfundimtare;</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Të mbështesin mekanizmat institucionalë që sanksionojnë keqpërdorimin sistemik të fondeve publike;</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Të zbatojnë mekanizmat e kushtëzimit brenda procesit të anëtarësimit në BE, nëse shkeljet vazhdojnë.</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Detyrimet e Shqipërisë sipas Dokumentit të Kopenhagës të OSBE-së (1990), Kartës Evropiane të Vetëqeverisjes Vendore dhe udhëzimeve të Komisionit të Venecias për keqpërdorimin e burimeve administrative gjatë zgjedhjeve duhet të përmbushen të gjitha.</w:t>
      </w:r>
    </w:p>
    <w:p w:rsidR="002574A7" w:rsidRPr="0042698A" w:rsidRDefault="002574A7" w:rsidP="002574A7">
      <w:pPr>
        <w:pStyle w:val="NoSpacing"/>
        <w:rPr>
          <w:sz w:val="24"/>
          <w:szCs w:val="24"/>
          <w:lang w:val="sq-AL"/>
        </w:rPr>
      </w:pPr>
    </w:p>
    <w:p w:rsidR="002574A7" w:rsidRPr="0042698A" w:rsidRDefault="002574A7" w:rsidP="002574A7">
      <w:pPr>
        <w:pStyle w:val="NoSpacing"/>
        <w:rPr>
          <w:sz w:val="24"/>
          <w:szCs w:val="24"/>
          <w:lang w:val="sq-AL"/>
        </w:rPr>
      </w:pPr>
      <w:r w:rsidRPr="0042698A">
        <w:rPr>
          <w:sz w:val="24"/>
          <w:szCs w:val="24"/>
          <w:lang w:val="sq-AL"/>
        </w:rPr>
        <w:t xml:space="preserve">PPE-ja do t’i ndjekë nga afër zhvillimet në Shqipëri, duke avokuar për aspiratat e Shqipërisë drejt BE-së; do të vazhdojë të mbështesë forcat demokratike në Shqipëri; dhe do të bashkëpunojë me partnerët ndërkombëtarë për të siguruar që proceset zgjedhore në Shqipëri </w:t>
      </w:r>
      <w:r w:rsidRPr="0042698A">
        <w:rPr>
          <w:sz w:val="24"/>
          <w:szCs w:val="24"/>
          <w:lang w:val="sq-AL"/>
        </w:rPr>
        <w:lastRenderedPageBreak/>
        <w:t>t’u përmbahen parimeve demokratike evropiane, duke ofruar një kuadër për zgjedhje të lira dhe të ndershme.</w:t>
      </w:r>
    </w:p>
    <w:sectPr w:rsidR="002574A7" w:rsidRPr="0042698A" w:rsidSect="0089124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FEA" w:rsidRDefault="003B2FEA" w:rsidP="002574A7">
      <w:pPr>
        <w:spacing w:line="240" w:lineRule="auto"/>
      </w:pPr>
      <w:r>
        <w:separator/>
      </w:r>
    </w:p>
  </w:endnote>
  <w:endnote w:type="continuationSeparator" w:id="1">
    <w:p w:rsidR="003B2FEA" w:rsidRDefault="003B2FEA" w:rsidP="002574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FEA" w:rsidRDefault="003B2FEA" w:rsidP="002574A7">
      <w:pPr>
        <w:spacing w:line="240" w:lineRule="auto"/>
      </w:pPr>
      <w:r>
        <w:separator/>
      </w:r>
    </w:p>
  </w:footnote>
  <w:footnote w:type="continuationSeparator" w:id="1">
    <w:p w:rsidR="003B2FEA" w:rsidRDefault="003B2FEA" w:rsidP="002574A7">
      <w:pPr>
        <w:spacing w:line="240" w:lineRule="auto"/>
      </w:pPr>
      <w:r>
        <w:continuationSeparator/>
      </w:r>
    </w:p>
  </w:footnote>
  <w:footnote w:id="2">
    <w:p w:rsidR="002574A7" w:rsidRDefault="002574A7" w:rsidP="002574A7">
      <w:r>
        <w:rPr>
          <w:rStyle w:val="FootnoteReference"/>
        </w:rPr>
        <w:footnoteRef/>
      </w:r>
      <w:r>
        <w:rPr>
          <w:sz w:val="18"/>
          <w:szCs w:val="18"/>
        </w:rPr>
        <w:t>Partia Demokratike e Shqipërisë paraqiti një platformë publike (https://pd.al/krimizgjedhor/doc/) që dokumenton qindra shkelje të pretenduara.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35AF5"/>
    <w:multiLevelType w:val="hybridMultilevel"/>
    <w:tmpl w:val="860882BC"/>
    <w:lvl w:ilvl="0" w:tplc="D3C81850">
      <w:start w:val="1"/>
      <w:numFmt w:val="bullet"/>
      <w:lvlText w:val="•"/>
      <w:lvlJc w:val="left"/>
      <w:pPr>
        <w:ind w:left="720" w:hanging="288"/>
      </w:pPr>
    </w:lvl>
    <w:lvl w:ilvl="1" w:tplc="0A9C4462">
      <w:numFmt w:val="decimal"/>
      <w:lvlText w:val=""/>
      <w:lvlJc w:val="left"/>
    </w:lvl>
    <w:lvl w:ilvl="2" w:tplc="DA904EDC">
      <w:numFmt w:val="decimal"/>
      <w:lvlText w:val=""/>
      <w:lvlJc w:val="left"/>
    </w:lvl>
    <w:lvl w:ilvl="3" w:tplc="CA9A0032">
      <w:numFmt w:val="decimal"/>
      <w:lvlText w:val=""/>
      <w:lvlJc w:val="left"/>
    </w:lvl>
    <w:lvl w:ilvl="4" w:tplc="BA42180E">
      <w:numFmt w:val="decimal"/>
      <w:lvlText w:val=""/>
      <w:lvlJc w:val="left"/>
    </w:lvl>
    <w:lvl w:ilvl="5" w:tplc="0E820C00">
      <w:numFmt w:val="decimal"/>
      <w:lvlText w:val=""/>
      <w:lvlJc w:val="left"/>
    </w:lvl>
    <w:lvl w:ilvl="6" w:tplc="BD169FDA">
      <w:numFmt w:val="decimal"/>
      <w:lvlText w:val=""/>
      <w:lvlJc w:val="left"/>
    </w:lvl>
    <w:lvl w:ilvl="7" w:tplc="F59C2A32">
      <w:numFmt w:val="decimal"/>
      <w:lvlText w:val=""/>
      <w:lvlJc w:val="left"/>
    </w:lvl>
    <w:lvl w:ilvl="8" w:tplc="15B4DE06">
      <w:numFmt w:val="decimal"/>
      <w:lvlText w:val=""/>
      <w:lvlJc w:val="left"/>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5E2F05"/>
    <w:rsid w:val="002574A7"/>
    <w:rsid w:val="003B2FEA"/>
    <w:rsid w:val="0042698A"/>
    <w:rsid w:val="005E2F05"/>
    <w:rsid w:val="0065191E"/>
    <w:rsid w:val="006601D6"/>
    <w:rsid w:val="007B5F87"/>
    <w:rsid w:val="008047BA"/>
    <w:rsid w:val="00891245"/>
    <w:rsid w:val="009A3BB0"/>
    <w:rsid w:val="00EA5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A7"/>
    <w:pPr>
      <w:spacing w:after="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05"/>
    <w:pPr>
      <w:spacing w:after="0" w:line="240" w:lineRule="auto"/>
    </w:pPr>
  </w:style>
  <w:style w:type="paragraph" w:styleId="ListParagraph">
    <w:name w:val="List Paragraph"/>
    <w:qFormat/>
    <w:rsid w:val="002574A7"/>
    <w:pPr>
      <w:spacing w:after="0"/>
    </w:pPr>
    <w:rPr>
      <w:rFonts w:ascii="Calibri" w:eastAsia="Calibri" w:hAnsi="Calibri" w:cs="Calibri"/>
    </w:rPr>
  </w:style>
  <w:style w:type="character" w:styleId="FootnoteReference">
    <w:name w:val="footnote reference"/>
    <w:uiPriority w:val="99"/>
    <w:semiHidden/>
    <w:unhideWhenUsed/>
    <w:rsid w:val="002574A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Redaktor Web Tani</dc:creator>
  <cp:lastModifiedBy>Redaktor Web Tani</cp:lastModifiedBy>
  <cp:revision>11</cp:revision>
  <dcterms:created xsi:type="dcterms:W3CDTF">2026-07-13T18:12:00Z</dcterms:created>
  <dcterms:modified xsi:type="dcterms:W3CDTF">2026-07-13T18:19:00Z</dcterms:modified>
</cp:coreProperties>
</file>